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ind w:left="3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Пояснительная записка (справка)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2"/>
        <w:ind w:left="34"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проекту постановления </w:t>
      </w:r>
      <w:r>
        <w:rPr>
          <w:sz w:val="26"/>
          <w:szCs w:val="26"/>
        </w:rPr>
        <w:t xml:space="preserve">Главы Республики Хакасия - Председателя Правительства </w:t>
      </w:r>
      <w:r>
        <w:rPr>
          <w:sz w:val="26"/>
          <w:szCs w:val="26"/>
        </w:rPr>
        <w:t xml:space="preserve">Республики Хакасия «</w:t>
      </w:r>
      <w:r>
        <w:rPr>
          <w:sz w:val="26"/>
          <w:szCs w:val="26"/>
        </w:rPr>
        <w:t xml:space="preserve">Об утверждении лимита добычи охотничьих ресурсов в Республике Хакасия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2"/>
        <w:ind w:right="-1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pStyle w:val="873"/>
        <w:ind w:left="0"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1. </w:t>
      </w:r>
      <w:r>
        <w:rPr>
          <w:rFonts w:ascii="Times New Roman" w:hAnsi="Times New Roman"/>
          <w:b/>
          <w:sz w:val="26"/>
          <w:szCs w:val="26"/>
        </w:rPr>
        <w:t xml:space="preserve">Предмет правового регулирования: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Предметом правового регулирования проекта постановления «Об утверждении лимита добычи охотничьих ресурсов в Республике Хакасия» являются правоотношения в области охоты и сохранения охотничьих ресурсов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6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нормативных актов, регулирующих общественные отношения в данной сфере: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</w:t>
      </w:r>
      <w:r>
        <w:rPr>
          <w:sz w:val="26"/>
          <w:szCs w:val="26"/>
        </w:rPr>
        <w:t xml:space="preserve">ый закон</w:t>
      </w:r>
      <w:r>
        <w:rPr>
          <w:sz w:val="26"/>
          <w:szCs w:val="26"/>
        </w:rPr>
        <w:t xml:space="preserve"> от 24.07.2009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209-ФЗ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Об охоте и о сохранении охотничьих ресурсов и о внесении изменений в отдельные законодательные акты Российской Федерации</w:t>
      </w:r>
      <w:r>
        <w:rPr>
          <w:sz w:val="26"/>
          <w:szCs w:val="26"/>
        </w:rPr>
        <w:t xml:space="preserve">»;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23.11.1995 № 174-ФЗ «Об экологической экспертизе»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Закон Республики Хакасия от 01.10.2010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87-ЗРХ</w:t>
      </w:r>
      <w:r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Об охоте и о сохранении охотничьих ресурсов в</w:t>
      </w:r>
      <w:r>
        <w:rPr>
          <w:sz w:val="26"/>
          <w:szCs w:val="26"/>
        </w:rPr>
        <w:t xml:space="preserve"> Республике Хакасия»;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риказ Министерства природных ресурсов и экологии Российской Федерации от </w:t>
      </w:r>
      <w:r>
        <w:rPr>
          <w:rFonts w:eastAsia="Calibri"/>
          <w:sz w:val="26"/>
          <w:szCs w:val="26"/>
          <w:lang w:eastAsia="en-US"/>
        </w:rPr>
        <w:t xml:space="preserve">27.11.2020 № 981 «Об утверждении Порядка подготовки, принятия документа об утверждении лимита добычи охотничьих ресурсов, внесения в него изменений и требований к его содержанию и составу»</w:t>
      </w:r>
      <w:r>
        <w:rPr>
          <w:rFonts w:eastAsia="Calibri"/>
          <w:sz w:val="26"/>
          <w:szCs w:val="26"/>
          <w:lang w:eastAsia="en-US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2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Обоснование необходимости принятия правового акта: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62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Частью 3 статьи 24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</w:t>
      </w:r>
      <w:r>
        <w:rPr>
          <w:sz w:val="26"/>
          <w:szCs w:val="26"/>
        </w:rPr>
        <w:t xml:space="preserve">» предусмотрено, что лимит добычи охотничьих ресурсов утверждается для каждого субъекта Ро</w:t>
      </w:r>
      <w:r>
        <w:rPr>
          <w:sz w:val="26"/>
          <w:szCs w:val="26"/>
        </w:rPr>
        <w:t xml:space="preserve">ссийской Федерации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в срок не позднее 1 августа текущего года на период до 1 августа следующего года.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Лимит добычи каждого вида охотничьих ресурсов по Республике Хакасия определен как сумма квот </w:t>
      </w:r>
      <w:r>
        <w:rPr>
          <w:sz w:val="26"/>
          <w:szCs w:val="26"/>
        </w:rPr>
        <w:t xml:space="preserve">добычи охотничьих ресурсов в закрепленных охотничьих угодьях, квот добычи охотничьих ресурсов в общедоступных охотничьих угодьях, объемов добычи на территориях, являющихся средой обитания охотничьих ресурсов, но не являющихся охотничьими угодьями и лимита </w:t>
      </w:r>
      <w:r>
        <w:rPr>
          <w:sz w:val="26"/>
          <w:szCs w:val="26"/>
        </w:rPr>
        <w:t xml:space="preserve">использования </w:t>
      </w:r>
      <w:r>
        <w:rPr>
          <w:sz w:val="26"/>
          <w:szCs w:val="26"/>
        </w:rPr>
        <w:t xml:space="preserve">охотничьих ресурсов</w:t>
      </w:r>
      <w:r>
        <w:rPr>
          <w:sz w:val="26"/>
          <w:szCs w:val="26"/>
        </w:rPr>
        <w:t xml:space="preserve">, добываемых для удовлетворения личных нужд, в местах традиционного проживания и традиционной хозяйственной деятельности, представителями коренных малочисленных народов </w:t>
      </w:r>
      <w:r>
        <w:rPr>
          <w:sz w:val="26"/>
          <w:szCs w:val="26"/>
        </w:rPr>
        <w:t xml:space="preserve">Севера, Сибири и Дальнего Востока Российской Федерации и лицами, не относящимися к коренным малочисленным народам, но постоянно проживающими в местах их традиционного проживания и традиционной хозяйственной деятельности, для которых охота и рыболовство явл</w:t>
      </w:r>
      <w:r>
        <w:rPr>
          <w:sz w:val="26"/>
          <w:szCs w:val="26"/>
        </w:rPr>
        <w:t xml:space="preserve">яются основой существования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за исключением </w:t>
      </w:r>
      <w:r>
        <w:rPr>
          <w:sz w:val="26"/>
          <w:szCs w:val="26"/>
        </w:rPr>
        <w:t xml:space="preserve">лимита использования охотничьих ресурсов, находящихся на </w:t>
      </w:r>
      <w:r>
        <w:rPr>
          <w:sz w:val="26"/>
          <w:szCs w:val="26"/>
        </w:rPr>
        <w:t xml:space="preserve">особо охраняемых природных территории федерального значения</w:t>
      </w:r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юридических лиц, осуществляющих пользование охотничьими ресу</w:t>
      </w:r>
      <w:r>
        <w:rPr>
          <w:sz w:val="26"/>
          <w:szCs w:val="26"/>
        </w:rPr>
        <w:t xml:space="preserve">рсами, квоты добычи определены на основании поданных ими заявок на установление квот добычи охотничьих ресурсов. Все юридические лица и индивидуальные предприниматели осуществляют пользование охотничьими ресурсами на основании охотхозяйственных соглашений.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2"/>
        <w:ind w:firstLine="709"/>
        <w:jc w:val="both"/>
      </w:pPr>
      <w:r>
        <w:rPr>
          <w:b/>
          <w:sz w:val="26"/>
          <w:szCs w:val="26"/>
        </w:rPr>
        <w:t xml:space="preserve">3. </w:t>
      </w:r>
      <w:r>
        <w:rPr>
          <w:b/>
          <w:sz w:val="26"/>
          <w:szCs w:val="26"/>
        </w:rPr>
        <w:t xml:space="preserve">Характеристика основных положений проекта постановления:</w:t>
      </w:r>
      <w:r>
        <w:rPr>
          <w:b/>
          <w:sz w:val="26"/>
          <w:szCs w:val="26"/>
        </w:rPr>
      </w:r>
      <w:r/>
    </w:p>
    <w:p>
      <w:pPr>
        <w:pStyle w:val="86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Проектом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производится утверждение лимита добычи охотничьих ресурсов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(за исключением лимита добычи охотничьих ресурсов, находящихся на особо охраняемых природных территориях федерального значения)</w:t>
      </w:r>
      <w:r>
        <w:rPr>
          <w:sz w:val="26"/>
          <w:szCs w:val="26"/>
        </w:rPr>
        <w:t xml:space="preserve"> и </w:t>
      </w:r>
      <w:r>
        <w:fldChar w:fldCharType="begin"/>
      </w:r>
      <w:r>
        <w:instrText xml:space="preserve"> HYPERLINK "consultantplus://offline/ref=1BA120A5306B096E79EE04ACA551133C5215DC6152811692660B9010C4E66BCEB1AE9F68415E8FD79F676AF9BFF2178E8BA4DCE4B7B7F19C9ED2DF0AX0J" </w:instrText>
      </w:r>
      <w:r>
        <w:fldChar w:fldCharType="separate"/>
      </w:r>
      <w:r>
        <w:rPr>
          <w:rFonts w:eastAsia="Calibri"/>
          <w:sz w:val="26"/>
          <w:szCs w:val="26"/>
          <w:lang w:eastAsia="en-US"/>
        </w:rPr>
        <w:t xml:space="preserve">квот</w:t>
      </w:r>
      <w:r>
        <w:rPr>
          <w:rFonts w:eastAsia="Calibri"/>
          <w:sz w:val="26"/>
          <w:szCs w:val="26"/>
          <w:lang w:eastAsia="en-US"/>
        </w:rPr>
        <w:fldChar w:fldCharType="end"/>
      </w:r>
      <w:r>
        <w:rPr>
          <w:rFonts w:eastAsia="Calibri"/>
          <w:sz w:val="26"/>
          <w:szCs w:val="26"/>
          <w:lang w:eastAsia="en-US"/>
        </w:rPr>
        <w:t xml:space="preserve"> добычи охотничьих ресурсов (за исключением квот добычи охотничьих ресурсов, находящихся на особо охраняемых природных территориях федерального значения)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в Республике Хакасия на период с 01 августа 202</w:t>
      </w:r>
      <w:r>
        <w:rPr>
          <w:rFonts w:eastAsia="Calibri"/>
          <w:sz w:val="26"/>
          <w:szCs w:val="26"/>
          <w:lang w:eastAsia="en-US"/>
        </w:rPr>
        <w:t xml:space="preserve">6 года до 01 августа 202</w:t>
      </w:r>
      <w:r>
        <w:rPr>
          <w:rFonts w:eastAsia="Calibri"/>
          <w:sz w:val="26"/>
          <w:szCs w:val="26"/>
          <w:lang w:eastAsia="en-US"/>
        </w:rPr>
        <w:t xml:space="preserve">7 год</w:t>
      </w:r>
      <w:r>
        <w:rPr>
          <w:rFonts w:eastAsia="Calibri"/>
          <w:sz w:val="26"/>
          <w:szCs w:val="26"/>
          <w:lang w:eastAsia="en-US"/>
        </w:rPr>
        <w:t xml:space="preserve">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b/>
          <w:sz w:val="26"/>
          <w:szCs w:val="26"/>
        </w:rPr>
        <w:t xml:space="preserve">Оценка эффективности и достаточности предлагаемых решений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Поскольку федеральным законодательством предусмотрено утверждение лимита охотничьих ресурсов актом высшего должностного лица субъекта Российской Федерации, то принятие постановления Главы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Республики Хакасия – Председателя Правительства Республики Хакасия является эффективным и достаточным вариантом для утверждения </w:t>
      </w:r>
      <w:r>
        <w:rPr>
          <w:sz w:val="26"/>
          <w:szCs w:val="26"/>
        </w:rPr>
        <w:t xml:space="preserve">лимита добычи охотничьих ресурсов в Республике Хакасия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2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5.</w:t>
      </w:r>
      <w:r>
        <w:rPr>
          <w:b/>
          <w:sz w:val="26"/>
          <w:szCs w:val="26"/>
        </w:rPr>
        <w:t xml:space="preserve"> Прогноз социально-экономических и иных последствий реализации проекта постановления: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Настоящий проект постановления не повлечет каких-либо социально-экономических и иных последствий. </w:t>
      </w:r>
      <w:r>
        <w:rPr>
          <w:sz w:val="26"/>
          <w:szCs w:val="26"/>
        </w:rPr>
        <w:t xml:space="preserve">Будет способствовать созданию рабочих мест и поступлению налоговых отчислений.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2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6.</w:t>
      </w:r>
      <w:r>
        <w:rPr>
          <w:b/>
          <w:sz w:val="26"/>
          <w:szCs w:val="26"/>
        </w:rPr>
        <w:t xml:space="preserve"> Информация о соблюдении порядка принятия проекта постановления: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Порядок принятия проекта </w:t>
      </w:r>
      <w:r>
        <w:rPr>
          <w:sz w:val="26"/>
          <w:szCs w:val="26"/>
        </w:rPr>
        <w:t xml:space="preserve">постановления </w:t>
      </w:r>
      <w:r>
        <w:rPr>
          <w:sz w:val="26"/>
          <w:szCs w:val="26"/>
        </w:rPr>
        <w:t xml:space="preserve">Главы Республики Хакасия - Председателя Правительства </w:t>
      </w:r>
      <w:r>
        <w:rPr>
          <w:sz w:val="26"/>
          <w:szCs w:val="26"/>
        </w:rPr>
        <w:t xml:space="preserve">Республики Хакасия «</w:t>
      </w:r>
      <w:r>
        <w:rPr>
          <w:sz w:val="26"/>
          <w:szCs w:val="26"/>
        </w:rPr>
        <w:t xml:space="preserve">Об утверждении лимита добычи охотничьих ресурсов в Республике Хакасия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и требования к его содержанию установлены приказом Минприроды России от </w:t>
      </w:r>
      <w:r>
        <w:rPr>
          <w:sz w:val="26"/>
          <w:szCs w:val="26"/>
        </w:rPr>
        <w:t xml:space="preserve">27.11.2020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981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подготовке данного проекта учтены и выполнены все требования указа</w:t>
      </w:r>
      <w:r>
        <w:rPr>
          <w:sz w:val="26"/>
          <w:szCs w:val="26"/>
        </w:rPr>
        <w:t xml:space="preserve">нного приказа Минприроды России: м</w:t>
      </w:r>
      <w:r>
        <w:rPr>
          <w:rFonts w:eastAsia="Calibri"/>
          <w:sz w:val="26"/>
          <w:szCs w:val="26"/>
          <w:lang w:eastAsia="en-US"/>
        </w:rPr>
        <w:t xml:space="preserve">атериалы, обосновывающие лимиты добычи охотничьих ресурсов в Республике Хакасия на период с 01.08.202</w:t>
      </w:r>
      <w:r>
        <w:rPr>
          <w:rFonts w:eastAsia="Calibri"/>
          <w:sz w:val="26"/>
          <w:szCs w:val="26"/>
          <w:lang w:eastAsia="en-US"/>
        </w:rPr>
        <w:t xml:space="preserve">6 до 01.08.202</w:t>
      </w:r>
      <w:r>
        <w:rPr>
          <w:rFonts w:eastAsia="Calibri"/>
          <w:sz w:val="26"/>
          <w:szCs w:val="26"/>
          <w:lang w:eastAsia="en-US"/>
        </w:rPr>
        <w:t xml:space="preserve">7 прошли государственную экологическую экспертизу (приказ Минприроды Хакасия </w:t>
      </w:r>
      <w:r>
        <w:rPr>
          <w:rFonts w:eastAsia="Calibri"/>
          <w:sz w:val="26"/>
          <w:szCs w:val="26"/>
          <w:lang w:eastAsia="en-US"/>
        </w:rPr>
        <w:t xml:space="preserve">от </w:t>
      </w:r>
      <w:r>
        <w:rPr>
          <w:rFonts w:eastAsia="Calibri"/>
          <w:sz w:val="26"/>
          <w:szCs w:val="26"/>
          <w:highlight w:val="white"/>
          <w:lang w:eastAsia="en-US"/>
        </w:rPr>
        <w:t xml:space="preserve">04</w:t>
      </w:r>
      <w:r>
        <w:rPr>
          <w:rFonts w:eastAsia="Calibri"/>
          <w:sz w:val="26"/>
          <w:szCs w:val="26"/>
          <w:highlight w:val="white"/>
          <w:lang w:eastAsia="en-US"/>
        </w:rPr>
        <w:t xml:space="preserve">.06.202</w:t>
      </w:r>
      <w:r>
        <w:rPr>
          <w:rFonts w:eastAsia="Calibri"/>
          <w:sz w:val="26"/>
          <w:szCs w:val="26"/>
          <w:highlight w:val="white"/>
          <w:lang w:eastAsia="en-US"/>
        </w:rPr>
        <w:t xml:space="preserve">6 № 010</w:t>
      </w:r>
      <w:r>
        <w:rPr>
          <w:rFonts w:eastAsia="Calibri"/>
          <w:sz w:val="26"/>
          <w:szCs w:val="26"/>
          <w:highlight w:val="white"/>
          <w:lang w:eastAsia="en-US"/>
        </w:rPr>
        <w:t xml:space="preserve">-158</w:t>
      </w:r>
      <w:r>
        <w:rPr>
          <w:rFonts w:eastAsia="Calibri"/>
          <w:sz w:val="26"/>
          <w:szCs w:val="26"/>
          <w:highlight w:val="white"/>
          <w:lang w:eastAsia="en-US"/>
        </w:rPr>
        <w:t xml:space="preserve">-пр</w:t>
      </w:r>
      <w:r>
        <w:rPr>
          <w:rFonts w:eastAsia="Calibri"/>
          <w:sz w:val="26"/>
          <w:szCs w:val="26"/>
          <w:highlight w:val="white"/>
          <w:lang w:eastAsia="en-US"/>
        </w:rPr>
        <w:t xml:space="preserve">)</w:t>
      </w:r>
      <w:r>
        <w:rPr>
          <w:rFonts w:eastAsia="Calibri"/>
          <w:sz w:val="26"/>
          <w:szCs w:val="26"/>
          <w:lang w:eastAsia="en-US"/>
        </w:rPr>
        <w:t xml:space="preserve">; лимиты добычи охотничьих ресурсов, подлежащие согласованию, согласованы </w:t>
      </w:r>
      <w:r>
        <w:rPr>
          <w:rFonts w:eastAsia="Calibri"/>
          <w:sz w:val="26"/>
          <w:szCs w:val="26"/>
          <w:lang w:eastAsia="en-US"/>
        </w:rPr>
        <w:t xml:space="preserve">Министерств</w:t>
      </w:r>
      <w:r>
        <w:rPr>
          <w:rFonts w:eastAsia="Calibri"/>
          <w:sz w:val="26"/>
          <w:szCs w:val="26"/>
          <w:lang w:eastAsia="en-US"/>
        </w:rPr>
        <w:t xml:space="preserve">ом</w:t>
      </w:r>
      <w:r>
        <w:rPr>
          <w:rFonts w:eastAsia="Calibri"/>
          <w:sz w:val="26"/>
          <w:szCs w:val="26"/>
          <w:lang w:eastAsia="en-US"/>
        </w:rPr>
        <w:t xml:space="preserve"> природных ресурсов </w:t>
      </w:r>
      <w:r>
        <w:rPr>
          <w:rFonts w:eastAsia="Calibri"/>
          <w:sz w:val="26"/>
          <w:szCs w:val="26"/>
          <w:lang w:eastAsia="en-US"/>
        </w:rPr>
        <w:t xml:space="preserve">и экологии Российской</w:t>
      </w:r>
      <w:r>
        <w:rPr>
          <w:rFonts w:eastAsia="Calibri"/>
          <w:sz w:val="26"/>
          <w:szCs w:val="26"/>
          <w:lang w:eastAsia="en-US"/>
        </w:rPr>
        <w:t xml:space="preserve"> Федерации</w:t>
      </w:r>
      <w:r>
        <w:rPr>
          <w:rFonts w:eastAsia="Calibri"/>
          <w:sz w:val="26"/>
          <w:szCs w:val="26"/>
          <w:lang w:eastAsia="en-US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2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7. Указание на необходимость (или отсутствие необходимости) проведения процедуры оценки регулирующего воздействия: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Проект постановления подлежит оценке регулирующего воздействия в соответствии с постановлением Правительства Республики Хакасия от 02.12.2013 № 671 «</w:t>
      </w:r>
      <w:r>
        <w:rPr>
          <w:sz w:val="26"/>
          <w:szCs w:val="26"/>
        </w:rPr>
        <w:t xml:space="preserve">Об утверждении Порядка оценки регулирующего воздействия проектов нормативных правовых актов Республики Хакасия,</w:t>
      </w:r>
      <w:r>
        <w:rPr>
          <w:sz w:val="26"/>
          <w:szCs w:val="26"/>
        </w:rPr>
        <w:t xml:space="preserve"> затрагивающих вопросы осуществления предпринимательской и иной экономической деятельности, и Порядка проведения экспертизы нормативных правовых актов Республики Хакасия, затрагивающих вопросы осуществления предпринимательской и инвестиционной деятельности</w:t>
      </w:r>
      <w:r>
        <w:rPr>
          <w:sz w:val="26"/>
          <w:szCs w:val="26"/>
        </w:rPr>
        <w:t xml:space="preserve">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2"/>
      </w:pPr>
      <w:r/>
      <w:r/>
    </w:p>
    <w:p>
      <w:pPr>
        <w:pStyle w:val="862"/>
      </w:pPr>
      <w:r/>
      <w:r/>
    </w:p>
    <w:p>
      <w:pPr>
        <w:pStyle w:val="862"/>
      </w:pPr>
      <w:r/>
      <w:r/>
    </w:p>
    <w:p>
      <w:pPr>
        <w:pStyle w:val="862"/>
        <w:jc w:val="both"/>
        <w:tabs>
          <w:tab w:val="left" w:pos="-567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</w:t>
      </w:r>
      <w:r>
        <w:rPr>
          <w:color w:val="000000"/>
          <w:sz w:val="26"/>
          <w:szCs w:val="26"/>
        </w:rPr>
        <w:t xml:space="preserve">инистр</w:t>
      </w:r>
      <w:r>
        <w:rPr>
          <w:color w:val="000000"/>
          <w:sz w:val="26"/>
          <w:szCs w:val="26"/>
        </w:rPr>
        <w:t xml:space="preserve"> природных ресурсов 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862"/>
        <w:jc w:val="both"/>
        <w:tabs>
          <w:tab w:val="left" w:pos="-567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 экологии Республики Хакасия</w:t>
        <w:tab/>
        <w:tab/>
      </w:r>
      <w:r>
        <w:rPr>
          <w:color w:val="000000"/>
          <w:sz w:val="26"/>
          <w:szCs w:val="26"/>
        </w:rPr>
        <w:tab/>
        <w:tab/>
        <w:tab/>
        <w:tab/>
      </w:r>
      <w:r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В. Лебедев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28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rPr>
      <w:sz w:val="24"/>
      <w:szCs w:val="24"/>
      <w:lang w:val="ru-RU" w:eastAsia="ru-RU" w:bidi="ar-SA"/>
    </w:rPr>
  </w:style>
  <w:style w:type="character" w:styleId="863">
    <w:name w:val="Основной шрифт абзаца"/>
    <w:next w:val="863"/>
    <w:link w:val="862"/>
    <w:semiHidden/>
  </w:style>
  <w:style w:type="table" w:styleId="864">
    <w:name w:val="Обычная таблица"/>
    <w:next w:val="864"/>
    <w:link w:val="862"/>
    <w:semiHidden/>
    <w:tblPr/>
  </w:style>
  <w:style w:type="numbering" w:styleId="865">
    <w:name w:val="Нет списка"/>
    <w:next w:val="865"/>
    <w:link w:val="862"/>
    <w:semiHidden/>
  </w:style>
  <w:style w:type="character" w:styleId="866">
    <w:name w:val="iceouttxt4"/>
    <w:basedOn w:val="863"/>
    <w:next w:val="866"/>
    <w:link w:val="862"/>
  </w:style>
  <w:style w:type="character" w:styleId="867">
    <w:name w:val="rs_err_mark"/>
    <w:basedOn w:val="863"/>
    <w:next w:val="867"/>
    <w:link w:val="862"/>
  </w:style>
  <w:style w:type="paragraph" w:styleId="868">
    <w:name w:val="Верхний колонтитул"/>
    <w:basedOn w:val="862"/>
    <w:next w:val="868"/>
    <w:link w:val="869"/>
    <w:uiPriority w:val="99"/>
    <w:pPr>
      <w:tabs>
        <w:tab w:val="center" w:pos="4677" w:leader="none"/>
        <w:tab w:val="right" w:pos="9355" w:leader="none"/>
      </w:tabs>
    </w:pPr>
  </w:style>
  <w:style w:type="character" w:styleId="869">
    <w:name w:val="Верхний колонтитул Знак"/>
    <w:next w:val="869"/>
    <w:link w:val="868"/>
    <w:uiPriority w:val="99"/>
    <w:rPr>
      <w:sz w:val="24"/>
      <w:szCs w:val="24"/>
    </w:rPr>
  </w:style>
  <w:style w:type="paragraph" w:styleId="870">
    <w:name w:val="Нижний колонтитул"/>
    <w:basedOn w:val="862"/>
    <w:next w:val="870"/>
    <w:link w:val="871"/>
    <w:pPr>
      <w:tabs>
        <w:tab w:val="center" w:pos="4677" w:leader="none"/>
        <w:tab w:val="right" w:pos="9355" w:leader="none"/>
      </w:tabs>
    </w:pPr>
  </w:style>
  <w:style w:type="character" w:styleId="871">
    <w:name w:val="Нижний колонтитул Знак"/>
    <w:next w:val="871"/>
    <w:link w:val="870"/>
    <w:rPr>
      <w:sz w:val="24"/>
      <w:szCs w:val="24"/>
    </w:rPr>
  </w:style>
  <w:style w:type="character" w:styleId="872">
    <w:name w:val="13"/>
    <w:next w:val="872"/>
    <w:link w:val="862"/>
    <w:rPr>
      <w:rFonts w:ascii="Times New Roman" w:hAnsi="Times New Roman"/>
      <w:sz w:val="26"/>
    </w:rPr>
  </w:style>
  <w:style w:type="paragraph" w:styleId="873">
    <w:name w:val="Абзац списка"/>
    <w:basedOn w:val="862"/>
    <w:next w:val="873"/>
    <w:link w:val="862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sz w:val="22"/>
      <w:szCs w:val="22"/>
    </w:rPr>
  </w:style>
  <w:style w:type="paragraph" w:styleId="874">
    <w:name w:val="Текст выноски"/>
    <w:basedOn w:val="862"/>
    <w:next w:val="874"/>
    <w:link w:val="875"/>
    <w:rPr>
      <w:rFonts w:ascii="Segoe UI" w:hAnsi="Segoe UI" w:cs="Segoe UI"/>
      <w:sz w:val="18"/>
      <w:szCs w:val="18"/>
    </w:rPr>
  </w:style>
  <w:style w:type="character" w:styleId="875">
    <w:name w:val="Текст выноски Знак"/>
    <w:next w:val="875"/>
    <w:link w:val="874"/>
    <w:rPr>
      <w:rFonts w:ascii="Segoe UI" w:hAnsi="Segoe UI" w:cs="Segoe UI"/>
      <w:sz w:val="18"/>
      <w:szCs w:val="18"/>
    </w:rPr>
  </w:style>
  <w:style w:type="character" w:styleId="876" w:default="1">
    <w:name w:val="Default Paragraph Font"/>
    <w:uiPriority w:val="1"/>
    <w:semiHidden/>
    <w:unhideWhenUsed/>
  </w:style>
  <w:style w:type="numbering" w:styleId="877" w:default="1">
    <w:name w:val="No List"/>
    <w:uiPriority w:val="99"/>
    <w:semiHidden/>
    <w:unhideWhenUsed/>
  </w:style>
  <w:style w:type="table" w:styleId="8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КГБУ Дирекция природного парка Ергаки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Андрей Матвеевич</dc:creator>
  <cp:revision>14</cp:revision>
  <dcterms:created xsi:type="dcterms:W3CDTF">2025-05-29T07:46:00Z</dcterms:created>
  <dcterms:modified xsi:type="dcterms:W3CDTF">2026-06-08T02:22:06Z</dcterms:modified>
  <cp:version>1048576</cp:version>
</cp:coreProperties>
</file>